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5854" w14:textId="77777777" w:rsidR="00E44532" w:rsidRDefault="00000000" w:rsidP="00CF2D96">
      <w:pPr>
        <w:spacing w:after="13"/>
        <w:ind w:left="0" w:right="93"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7067A09" w14:textId="77777777" w:rsidR="00E44532" w:rsidRDefault="00000000">
      <w:pPr>
        <w:spacing w:line="560" w:lineRule="exact"/>
        <w:ind w:left="0"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各培训层次具体要求</w:t>
      </w:r>
    </w:p>
    <w:p w14:paraId="2E849E36" w14:textId="77777777" w:rsidR="00E44532" w:rsidRDefault="00E44532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</w:p>
    <w:tbl>
      <w:tblPr>
        <w:tblW w:w="9901" w:type="dxa"/>
        <w:tblInd w:w="-237" w:type="dxa"/>
        <w:tblLook w:val="04A0" w:firstRow="1" w:lastRow="0" w:firstColumn="1" w:lastColumn="0" w:noHBand="0" w:noVBand="1"/>
      </w:tblPr>
      <w:tblGrid>
        <w:gridCol w:w="705"/>
        <w:gridCol w:w="525"/>
        <w:gridCol w:w="1468"/>
        <w:gridCol w:w="2214"/>
        <w:gridCol w:w="769"/>
        <w:gridCol w:w="974"/>
        <w:gridCol w:w="1000"/>
        <w:gridCol w:w="1278"/>
        <w:gridCol w:w="968"/>
      </w:tblGrid>
      <w:tr w:rsidR="00E44532" w14:paraId="1428F062" w14:textId="77777777">
        <w:trPr>
          <w:trHeight w:val="5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985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教师分层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4D3B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培训层次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914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32B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D96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必修内容要求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3BB9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限定选修内容要求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05F1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任意选修内容要求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14F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项目设置要求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69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学时分配</w:t>
            </w:r>
          </w:p>
        </w:tc>
      </w:tr>
      <w:tr w:rsidR="00E44532" w14:paraId="65B49977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DB0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140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0373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37E4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育教师对教育事业的认同感；学会分析小学教材内容，并逐渐把握学科知识体系；从初步了解学生到逐渐系统了解学生的特点，掌握有效的班级管理方法；初步掌握科学的教育方法和有效的教学技能，并逐渐熟练化；掌握应用信息技术优化小学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793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B8A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C42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2A0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503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理论培训占40%，实践培训占60%</w:t>
            </w:r>
          </w:p>
        </w:tc>
      </w:tr>
      <w:tr w:rsidR="00E44532" w14:paraId="274648B1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614A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45C6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9A5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F08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养教师对教育事业的成就感；深入理解课程的逻辑体系和本质；优化教学设计、教学实施和教学评价；能够根据小学生不同特点实施差异化教育，有效提升教育教学的质量；应用信息技术促进小学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974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DEE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DE05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14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87A3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理论培训占50%，实践培训占50%</w:t>
            </w:r>
          </w:p>
        </w:tc>
      </w:tr>
      <w:tr w:rsidR="00E44532" w14:paraId="4E9BC6CF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4E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B89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9C87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500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小学学科发展、青年教师发展的能力；掌握教育研究与教育实验的科学方法；实现信息技术和学科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88A9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84E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B2A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FA80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DE16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理论培训占60%，实践培训占40%</w:t>
            </w:r>
          </w:p>
        </w:tc>
      </w:tr>
      <w:tr w:rsidR="00E44532" w14:paraId="7F2188F0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E4B7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216F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A12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0CF2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育对教师教育事业的认同感；学会分析初中或高中教材内容，并逐渐把握初中或高中学科知识体系；从初步了解到逐渐系统了解初中或高中学生的特点，掌握有效的班级管理方法；初步掌握科学的教育方法和有效的教学技能，并逐渐熟练化；熟练应用信息技术优化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7256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F97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AF3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604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2B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理论培训占40%，实践培训占60%</w:t>
            </w:r>
          </w:p>
        </w:tc>
      </w:tr>
      <w:tr w:rsidR="00E44532" w14:paraId="77C55D66" w14:textId="77777777">
        <w:trPr>
          <w:trHeight w:val="22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CC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A00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08F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20A2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育教师对教育事业的成就感；深入理解初中或高中课程的逻辑体系和本质；优化教学设计、教学实施和教学评价；能够根据初中或高中学生不同特点实施差异化教育，有效提升教育教学的质量；应用信息技术促进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A2CB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B94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A8C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606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93DD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理论培训占50%，实践培训占50%</w:t>
            </w:r>
          </w:p>
        </w:tc>
      </w:tr>
      <w:tr w:rsidR="00E44532" w14:paraId="0C08D887" w14:textId="77777777">
        <w:trPr>
          <w:trHeight w:val="2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345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997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C26E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83B" w14:textId="77777777" w:rsidR="00E44532" w:rsidRDefault="00000000">
            <w:pPr>
              <w:widowControl/>
              <w:ind w:left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初中或高中学科发展、青年教师发展的能力；掌握教育研究与教育实验的科学方法；实现信息技术和学科课程与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30E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60F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E99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28F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CAA" w14:textId="77777777" w:rsidR="00E44532" w:rsidRDefault="00000000">
            <w:pPr>
              <w:widowControl/>
              <w:ind w:left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理论培训占60%，实践培训占40%</w:t>
            </w:r>
          </w:p>
        </w:tc>
      </w:tr>
    </w:tbl>
    <w:p w14:paraId="4A67714F" w14:textId="77777777" w:rsidR="00E44532" w:rsidRDefault="00000000">
      <w:pPr>
        <w:spacing w:line="560" w:lineRule="exact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中小学教师培训学分结构及培训领域如下：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76"/>
        <w:gridCol w:w="667"/>
        <w:gridCol w:w="667"/>
        <w:gridCol w:w="667"/>
        <w:gridCol w:w="831"/>
        <w:gridCol w:w="2970"/>
        <w:gridCol w:w="2976"/>
      </w:tblGrid>
      <w:tr w:rsidR="00E44532" w14:paraId="6F6C8893" w14:textId="77777777">
        <w:trPr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6DD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层次领</w:t>
            </w:r>
            <w:r>
              <w:rPr>
                <w:rFonts w:ascii="微软雅黑" w:eastAsia="仿宋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08AB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初级培训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4FAD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中级培训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8B9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高级培训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7B4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培训维度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3EE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小学教师培训基本内容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C8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小学教师培训基本内容</w:t>
            </w:r>
          </w:p>
        </w:tc>
      </w:tr>
      <w:tr w:rsidR="00E44532" w14:paraId="59E86785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5395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职业道德与法规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4F6D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C956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BFB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57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A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33DD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教育方针政策，教育法律法规，教师职业道德，教师专业标准，教师专业理念，身心健康，师生关爱，家校合作等。</w:t>
            </w:r>
          </w:p>
        </w:tc>
      </w:tr>
      <w:tr w:rsidR="00E44532" w14:paraId="3C56F54F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909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课程内容与教法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B17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075A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F696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21A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1B7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学科课程标准，学科课程知识，学科教材解读，学科教学观念，学科教学模式，作业与命题设计，学业辅导，学习环境设计等。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B441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学科课程标准，学科课程知识，学科教材解读，学科教学观念，学科教学模式，作业与命题设计，学业辅导，教学方法等。</w:t>
            </w:r>
          </w:p>
        </w:tc>
      </w:tr>
      <w:tr w:rsidR="00E44532" w14:paraId="3D82473B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AD6A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学生发展与管理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3EA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1451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2817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CAD4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40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学生身心发展规律，认知发展特点，班级管理，班集体建设差异发展规律，行为习惯养成，发展状况评价，团体辅导和个别化辅导等。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5DCC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学生的身心发展规律，认知发展特点，班级管理，班级文化建设，学习风格，学习方式，学习困难，学习习惯，学习效果反馈，学习质量监测，学困生帮扶等。</w:t>
            </w:r>
          </w:p>
        </w:tc>
      </w:tr>
      <w:tr w:rsidR="00E44532" w14:paraId="40F736BC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07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教学策略与艺术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53DD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7B6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E452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A83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0CA5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教学理论与实践，学科教学设计，教学评价，学科教学文化，课堂转型、教学创新，教学风格，学科整合等。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399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教学理论与实践，学科教学设计，教学评价，学科教学文化，课堂转型、教学创新，教学实施，学科德育渗透等。</w:t>
            </w:r>
          </w:p>
        </w:tc>
      </w:tr>
      <w:tr w:rsidR="00E44532" w14:paraId="5A0532E8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9167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教学反思与研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4B7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任意选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AB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任意选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59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限定选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122C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068A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教学课堂观察，教学案例研究，教学经验总结，教学课题研究，教学论文撰写等。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CD6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教学课堂观察，教学案例研究，教学经验总结，教学课题研究，教学论文撰写，教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lastRenderedPageBreak/>
              <w:t>学反思与评价等。</w:t>
            </w:r>
          </w:p>
        </w:tc>
      </w:tr>
      <w:tr w:rsidR="00E44532" w14:paraId="41889542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CBB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lastRenderedPageBreak/>
              <w:t>教育改革与素养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8B9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AF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5F0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8AB9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936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人文、艺术和科学素养，国内外教育发展、课程改革、教学创新，信息技术应用，课程研发能力，学校变革、学习型组织建设等。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CAAF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3"/>
                <w:szCs w:val="23"/>
              </w:rPr>
              <w:t>人文、艺术和科学素养，国内外教育发展，课程改革，教学创新，信息技术应用，校本课程开发，校本教材建设，教师学习共同体，教学改革与实验，传统文化与教育现代化等。</w:t>
            </w:r>
          </w:p>
        </w:tc>
      </w:tr>
      <w:tr w:rsidR="00E44532" w14:paraId="28BB9360" w14:textId="77777777">
        <w:trPr>
          <w:trHeight w:val="10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DE3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CAA2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CD8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5C0F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以提升教师个人生活修养为主的培训课程（项目）、未经条件审核的优秀培训机构开设的课程（项目）及教育行政部门认定需要纳入其他领域的课程（项目）。</w:t>
            </w:r>
          </w:p>
        </w:tc>
      </w:tr>
      <w:tr w:rsidR="00E44532" w14:paraId="2263996C" w14:textId="77777777">
        <w:trPr>
          <w:trHeight w:val="106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13E" w14:textId="77777777" w:rsidR="00E44532" w:rsidRDefault="00000000">
            <w:pPr>
              <w:widowControl/>
              <w:ind w:left="0"/>
              <w:jc w:val="center"/>
              <w:rPr>
                <w:rFonts w:ascii="仿宋" w:eastAsia="仿宋" w:hAnsi="仿宋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3"/>
                <w:szCs w:val="23"/>
              </w:rPr>
              <w:t>注：每个层次培训，限定选修的90学分均为二选一或三选一。</w:t>
            </w:r>
          </w:p>
        </w:tc>
      </w:tr>
    </w:tbl>
    <w:p w14:paraId="62018C2A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06B0F7B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563DD4EC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1D1E49AA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2DFCAFC3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51EF9DBC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0832397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71F94014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021C3296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p w14:paraId="0ECD4697" w14:textId="77777777" w:rsidR="00E44532" w:rsidRDefault="00E44532">
      <w:pPr>
        <w:spacing w:line="560" w:lineRule="exact"/>
        <w:ind w:left="0"/>
        <w:jc w:val="left"/>
        <w:rPr>
          <w:rFonts w:ascii="仿宋" w:eastAsia="仿宋" w:hAnsi="仿宋" w:cs="黑体"/>
          <w:sz w:val="32"/>
          <w:szCs w:val="32"/>
        </w:rPr>
      </w:pPr>
    </w:p>
    <w:sectPr w:rsidR="00E4453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EAFA" w14:textId="77777777" w:rsidR="00F515D3" w:rsidRDefault="00F515D3" w:rsidP="009C5D40">
      <w:r>
        <w:separator/>
      </w:r>
    </w:p>
  </w:endnote>
  <w:endnote w:type="continuationSeparator" w:id="0">
    <w:p w14:paraId="4C3B5FF3" w14:textId="77777777" w:rsidR="00F515D3" w:rsidRDefault="00F515D3" w:rsidP="009C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14D3" w14:textId="77777777" w:rsidR="00F515D3" w:rsidRDefault="00F515D3" w:rsidP="009C5D40">
      <w:r>
        <w:separator/>
      </w:r>
    </w:p>
  </w:footnote>
  <w:footnote w:type="continuationSeparator" w:id="0">
    <w:p w14:paraId="38E7384B" w14:textId="77777777" w:rsidR="00F515D3" w:rsidRDefault="00F515D3" w:rsidP="009C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mMWU4MDhiMTUwMDk2YWM1Y2JmMDg0NmU2ZmVjYzAifQ=="/>
  </w:docVars>
  <w:rsids>
    <w:rsidRoot w:val="00105D9B"/>
    <w:rsid w:val="FB7EE3D5"/>
    <w:rsid w:val="0003207B"/>
    <w:rsid w:val="00040A98"/>
    <w:rsid w:val="00073CA5"/>
    <w:rsid w:val="00077D79"/>
    <w:rsid w:val="000C7043"/>
    <w:rsid w:val="00100F54"/>
    <w:rsid w:val="00105D9B"/>
    <w:rsid w:val="001406C2"/>
    <w:rsid w:val="00146EF5"/>
    <w:rsid w:val="00157690"/>
    <w:rsid w:val="001620E4"/>
    <w:rsid w:val="00180642"/>
    <w:rsid w:val="0019370A"/>
    <w:rsid w:val="001974B0"/>
    <w:rsid w:val="001A3A87"/>
    <w:rsid w:val="001F4D52"/>
    <w:rsid w:val="00261CCC"/>
    <w:rsid w:val="002875C5"/>
    <w:rsid w:val="002B204C"/>
    <w:rsid w:val="00317A90"/>
    <w:rsid w:val="00337ED1"/>
    <w:rsid w:val="00350828"/>
    <w:rsid w:val="00363A4E"/>
    <w:rsid w:val="003733A7"/>
    <w:rsid w:val="003F1D11"/>
    <w:rsid w:val="00427084"/>
    <w:rsid w:val="004C4367"/>
    <w:rsid w:val="004E7D73"/>
    <w:rsid w:val="004F3A99"/>
    <w:rsid w:val="005C68D1"/>
    <w:rsid w:val="005D309F"/>
    <w:rsid w:val="005D3D8F"/>
    <w:rsid w:val="00601B70"/>
    <w:rsid w:val="006633FF"/>
    <w:rsid w:val="0067711C"/>
    <w:rsid w:val="00685704"/>
    <w:rsid w:val="006A0641"/>
    <w:rsid w:val="006D46B5"/>
    <w:rsid w:val="007546E2"/>
    <w:rsid w:val="007B127D"/>
    <w:rsid w:val="00816C31"/>
    <w:rsid w:val="008330AE"/>
    <w:rsid w:val="008C2BD1"/>
    <w:rsid w:val="008D68EF"/>
    <w:rsid w:val="0098181B"/>
    <w:rsid w:val="009C5D40"/>
    <w:rsid w:val="00A152DC"/>
    <w:rsid w:val="00B37FC3"/>
    <w:rsid w:val="00C32EDD"/>
    <w:rsid w:val="00C66719"/>
    <w:rsid w:val="00C7623B"/>
    <w:rsid w:val="00C932EF"/>
    <w:rsid w:val="00CD3831"/>
    <w:rsid w:val="00CF2D96"/>
    <w:rsid w:val="00D049D3"/>
    <w:rsid w:val="00D47E80"/>
    <w:rsid w:val="00D54AE7"/>
    <w:rsid w:val="00D60B20"/>
    <w:rsid w:val="00D91A53"/>
    <w:rsid w:val="00DC2596"/>
    <w:rsid w:val="00E223C0"/>
    <w:rsid w:val="00E27656"/>
    <w:rsid w:val="00E44532"/>
    <w:rsid w:val="00E92EDF"/>
    <w:rsid w:val="00EA14A4"/>
    <w:rsid w:val="00EB1559"/>
    <w:rsid w:val="00EB5CB9"/>
    <w:rsid w:val="00EF6E1F"/>
    <w:rsid w:val="00F1679D"/>
    <w:rsid w:val="00F515D3"/>
    <w:rsid w:val="00F8354B"/>
    <w:rsid w:val="00FF351B"/>
    <w:rsid w:val="03392C33"/>
    <w:rsid w:val="05BF1B76"/>
    <w:rsid w:val="06DB386E"/>
    <w:rsid w:val="08314CB4"/>
    <w:rsid w:val="127E021B"/>
    <w:rsid w:val="15AC123C"/>
    <w:rsid w:val="17134C6A"/>
    <w:rsid w:val="1BC23FE8"/>
    <w:rsid w:val="200E111C"/>
    <w:rsid w:val="27DD66F0"/>
    <w:rsid w:val="39865885"/>
    <w:rsid w:val="3BE74636"/>
    <w:rsid w:val="55E4691F"/>
    <w:rsid w:val="5DAF78B3"/>
    <w:rsid w:val="603A41BB"/>
    <w:rsid w:val="69DE67C7"/>
    <w:rsid w:val="7F9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B0D1"/>
  <w15:docId w15:val="{24B5E386-C24E-4D64-8B47-5A84DBF3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8D68EF"/>
    <w:pPr>
      <w:keepNext/>
      <w:keepLines/>
      <w:widowControl/>
      <w:adjustRightInd w:val="0"/>
      <w:snapToGrid w:val="0"/>
      <w:spacing w:line="560" w:lineRule="exact"/>
      <w:ind w:left="0" w:hanging="567"/>
      <w:jc w:val="left"/>
      <w:outlineLvl w:val="1"/>
    </w:pPr>
    <w:rPr>
      <w:rFonts w:ascii="Times New Roman" w:eastAsia="楷体_GB2312" w:hAnsi="Times New Roman" w:cs="Times New Roman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Pr>
      <w:color w:val="800080"/>
      <w:u w:val="none"/>
    </w:rPr>
  </w:style>
  <w:style w:type="character" w:styleId="ab">
    <w:name w:val="Hyperlink"/>
    <w:basedOn w:val="a0"/>
    <w:uiPriority w:val="99"/>
    <w:unhideWhenUsed/>
    <w:rPr>
      <w:color w:val="0000FF"/>
      <w:u w:val="none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info-label">
    <w:name w:val="info-label"/>
    <w:basedOn w:val="a0"/>
    <w:qFormat/>
    <w:rPr>
      <w:b/>
      <w:bCs/>
    </w:rPr>
  </w:style>
  <w:style w:type="character" w:customStyle="1" w:styleId="info-content">
    <w:name w:val="info-content"/>
    <w:basedOn w:val="a0"/>
    <w:qFormat/>
    <w:rPr>
      <w:color w:val="808080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8D68EF"/>
    <w:rPr>
      <w:rFonts w:eastAsia="楷体_GB2312"/>
      <w:b/>
      <w:kern w:val="2"/>
      <w:sz w:val="32"/>
      <w:szCs w:val="30"/>
    </w:rPr>
  </w:style>
  <w:style w:type="paragraph" w:styleId="ac">
    <w:name w:val="Date"/>
    <w:basedOn w:val="a"/>
    <w:next w:val="a"/>
    <w:link w:val="ad"/>
    <w:uiPriority w:val="99"/>
    <w:semiHidden/>
    <w:unhideWhenUsed/>
    <w:rsid w:val="009C5D4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C5D4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cindyliu</dc:creator>
  <cp:lastModifiedBy>54486293@qq.com</cp:lastModifiedBy>
  <cp:revision>84</cp:revision>
  <dcterms:created xsi:type="dcterms:W3CDTF">2021-11-18T17:46:00Z</dcterms:created>
  <dcterms:modified xsi:type="dcterms:W3CDTF">2023-06-28T06:47:00Z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27840A5CE48A4543AD825D80ED62B946_13</vt:lpwstr>
  </property>
</Properties>
</file>