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3"/>
        <w:ind w:left="0" w:right="93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ind w:left="0"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培训层次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具体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要求</w:t>
      </w:r>
    </w:p>
    <w:p>
      <w:pPr>
        <w:spacing w:line="560" w:lineRule="exact"/>
        <w:ind w:left="0" w:firstLine="640" w:firstLineChars="200"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9901" w:type="dxa"/>
        <w:tblInd w:w="-23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25"/>
        <w:gridCol w:w="1468"/>
        <w:gridCol w:w="2214"/>
        <w:gridCol w:w="769"/>
        <w:gridCol w:w="974"/>
        <w:gridCol w:w="1000"/>
        <w:gridCol w:w="1278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教师分层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培训层次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培训对象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培训目标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必修内容要求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限定选修内容要求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任意选修内容要求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项目设置要求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学时分配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小学教师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初级培训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一般教龄在2—6年之间或具有初级职称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培育教师对教育事业的认同感；学会分析小学教材内容，并逐渐把握学科知识体系；从初步了解学生到逐渐系统了解学生的特点，掌握有效的班级管理方法；初步掌握科学的教育方法和有效的教学技能，并逐渐熟练化；掌握应用信息技术优化小学课堂教学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职业道德与法规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课程内容与教法、学生发展与管理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教学策略与艺术、教学反思与研究、教育改革与素养和其他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促进他们“从新手走向熟练”，成为“会教书，会带班”的合格教师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理论培训占40%，实践培训占60%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小学教师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中级培训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一般教龄在7—16年之间或具有中级职称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培养教师对教育事业的成就感；深入理解课程的逻辑体系和本质；优化教学设计、教学实施和教学评价；能够根据小学生不同特点实施差异化教育，有效提升教育教学的质量；应用信息技术促进小学课堂教学和学习方式的变革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职业道德与法规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课程内容与教法、学生发展与管理、教学策略与艺术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教学反思与研究、教育改革与素养和其他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促进他们“从熟练走向成熟”，成为“教好书，带好班”的骨干教师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理论培训占50%，实践培训占50%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小学教师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高级培训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一般教龄在12年及以上或具有高级职称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培育教师对教育事业的幸福感，避免职业倦怠；开拓教育视野，凝练、总结、反思教学经验，更新教育理念，形成教学风格；具备引领小学学科发展、青年教师发展的能力；掌握教育研究与教育实验的科学方法；实现信息技术和学科教学的深度融合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职业道德与法规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教学策略与艺术、教学反思与研究、教育改革与素养、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课程内容与教法、学生发展与管理和其他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促进他们“从成熟走向卓越”，成为“有专业影响力”的卓越教师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理论培训占60%，实践培训占40%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中学教师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初级培训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一般教龄在2—6年之间或具有初级职称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培育对教师教育事业的认同感；学会分析初中或高中教材内容，并逐渐把握初中或高中学科知识体系；从初步了解到逐渐系统了解初中或高中学生的特点，掌握有效的班级管理方法；初步掌握科学的教育方法和有效的教学技能，并逐渐熟练化；熟练应用信息技术优化课堂教学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职业道德与法规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课程内容与教法、学生发展与管理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教学策略与艺术、教学反思与研究、教育改革与素养和其他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促进他们“从新手走向熟练”，成为“会教书，会带班”的合格教师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理论培训占40%，实践培训占60%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中学教师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中级培训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一般教龄在7—16年之间或具有中级职称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培育教师对教育事业的成就感；深入理解初中或高中课程的逻辑体系和本质；优化教学设计、教学实施和教学评价；能够根据初中或高中学生不同特点实施差异化教育，有效提升教育教学的质量；应用信息技术促进课堂教学和学习方式的变革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职业道德与法规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课程内容与教法、学生发展与管理、教学策略与艺术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教学反思与研究、教育改革与素养和其他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促进他们“从熟练走向成熟”，成为“教好书，带好班”的骨干教师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理论培训占50%，实践培训占50%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中学教师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高级培训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一般教龄在12年及以上或具有高级职称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培育教师对教育事业的幸福感，避免职业倦怠；开拓教育视野，凝练、总结、反思教学经验，更新教育理念，形成教学风格；具备引领初中或高中学科发展、青年教师发展的能力；掌握教育研究与教育实验的科学方法；实现信息技术和学科课程与教学的深度融合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职业道德与法规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教学策略与艺术、教学反思与研究、教育改革与素养、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课程内容与教法、学生发展与管理和其他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促进他们“从成熟走向卓越”，成为“有专业影响力”的卓越教师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理论培训占60%，实践培训占40%</w:t>
            </w:r>
          </w:p>
        </w:tc>
      </w:tr>
    </w:tbl>
    <w:p>
      <w:pPr>
        <w:spacing w:line="560" w:lineRule="exact"/>
        <w:ind w:left="0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中小学教师培训学分结构及培训领域如下：</w:t>
      </w:r>
    </w:p>
    <w:tbl>
      <w:tblPr>
        <w:tblStyle w:val="7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667"/>
        <w:gridCol w:w="667"/>
        <w:gridCol w:w="667"/>
        <w:gridCol w:w="831"/>
        <w:gridCol w:w="2970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3"/>
                <w:szCs w:val="23"/>
              </w:rPr>
              <w:t>层次领</w:t>
            </w:r>
            <w:r>
              <w:rPr>
                <w:rFonts w:hint="eastAsia" w:ascii="微软雅黑" w:hAnsi="微软雅黑" w:eastAsia="仿宋" w:cs="宋体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3"/>
                <w:szCs w:val="23"/>
              </w:rPr>
              <w:t>域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3"/>
                <w:szCs w:val="23"/>
              </w:rPr>
              <w:t>初级培训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3"/>
                <w:szCs w:val="23"/>
              </w:rPr>
              <w:t>中级培训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3"/>
                <w:szCs w:val="23"/>
              </w:rPr>
              <w:t>高级培训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3"/>
                <w:szCs w:val="23"/>
              </w:rPr>
              <w:t>培训维度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3"/>
                <w:szCs w:val="23"/>
              </w:rPr>
              <w:t>小学教师培训基本内容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3"/>
                <w:szCs w:val="23"/>
              </w:rPr>
              <w:t>小学教师培训基本内容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职业道德与法规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必修/30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必修/30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必修/30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A</w:t>
            </w:r>
          </w:p>
        </w:tc>
        <w:tc>
          <w:tcPr>
            <w:tcW w:w="5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教育方针政策，教育法律法规，教师职业道德，教师专业标准，教师专业理念，身心健康，师生关爱，家校合作等。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课程内容与教法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任意选修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B&amp;C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3"/>
                <w:szCs w:val="23"/>
              </w:rPr>
              <w:t>学科课程标准，学科课程知识，学科教材解读，学科教学观念，学科教学模式，作业与命题设计，学业辅导，学习环境设计等。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3"/>
                <w:szCs w:val="23"/>
              </w:rPr>
              <w:t>学科课程标准，学科课程知识，学科教材解读，学科教学观念，学科教学模式，作业与命题设计，学业辅导，教学方法等。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学生发展与管理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任意选修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B&amp;C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3"/>
                <w:szCs w:val="23"/>
              </w:rPr>
              <w:t>学生身心发展规律，认知发展特点，班级管理，班集体建设差异发展规律，行为习惯养成，发展状况评价，团体辅导和个别化辅导等。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3"/>
                <w:szCs w:val="23"/>
              </w:rPr>
              <w:t>学生的身心发展规律，认知发展特点，班级管理，班级文化建设，学习风格，学习方式，学习困难，学习习惯，学习效果反馈，学习质量监测，学困生帮扶等。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教学策略与艺术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任意选修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B&amp;C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3"/>
                <w:szCs w:val="23"/>
              </w:rPr>
              <w:t>教学理论与实践，学科教学设计，教学评价，学科教学文化，课堂转型、教学创新，教学风格，学科整合等。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3"/>
                <w:szCs w:val="23"/>
              </w:rPr>
              <w:t>教学理论与实践，学科教学设计，教学评价，学科教学文化，课堂转型、教学创新，教学实施，学科德育渗透等。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教学反思与研究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任意选修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任意选修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B&amp;C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3"/>
                <w:szCs w:val="23"/>
              </w:rPr>
              <w:t>教学课堂观察，教学案例研究，教学经验总结，教学课题研究，教学论文撰写等。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3"/>
                <w:szCs w:val="23"/>
              </w:rPr>
              <w:t>教学课堂观察，教学案例研究，教学经验总结，教学课题研究，教学论文撰写，教学反思与评价等。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教育改革与素养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任意选修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任意选修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限定选修/90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A&amp;B&amp;C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3"/>
                <w:szCs w:val="23"/>
              </w:rPr>
              <w:t>人文、艺术和科学素养，国内外教育发展、课程改革、教学创新，信息技术应用，课程研发能力，学校变革、学习型组织建设等。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3"/>
                <w:szCs w:val="23"/>
              </w:rPr>
              <w:t>人文、艺术和科学素养，国内外教育发展，课程改革，教学创新，信息技术应用，校本课程开发，校本教材建设，教师学习共同体，教学改革与实验，传统文化与教育现代化等。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其他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任意选修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A&amp;B&amp;C</w:t>
            </w:r>
          </w:p>
        </w:tc>
        <w:tc>
          <w:tcPr>
            <w:tcW w:w="5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3"/>
                <w:szCs w:val="23"/>
              </w:rPr>
              <w:t>以提升教师个人生活修养为主的培训课程（项目）、未经条件审核的优秀培训机构开设的课程（项目）及教育行政部门认定需要纳入其他领域的课程（项目）。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/>
              <w:jc w:val="center"/>
              <w:rPr>
                <w:rFonts w:ascii="仿宋" w:hAnsi="仿宋" w:eastAsia="仿宋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3"/>
                <w:szCs w:val="23"/>
              </w:rPr>
              <w:t>注：每个层次培训，限定选修的90学分均为二选一或三选一。</w:t>
            </w:r>
          </w:p>
        </w:tc>
      </w:tr>
    </w:tbl>
    <w:p>
      <w:pPr>
        <w:spacing w:line="560" w:lineRule="exact"/>
        <w:ind w:left="0"/>
        <w:jc w:val="left"/>
        <w:rPr>
          <w:rFonts w:hint="eastAsia" w:ascii="仿宋" w:hAnsi="仿宋" w:eastAsia="仿宋" w:cs="黑体"/>
          <w:sz w:val="32"/>
          <w:szCs w:val="32"/>
        </w:rPr>
      </w:pPr>
    </w:p>
    <w:p>
      <w:pPr>
        <w:spacing w:line="560" w:lineRule="exact"/>
        <w:ind w:left="0"/>
        <w:jc w:val="left"/>
        <w:rPr>
          <w:rFonts w:hint="eastAsia" w:ascii="仿宋" w:hAnsi="仿宋" w:eastAsia="仿宋" w:cs="黑体"/>
          <w:sz w:val="32"/>
          <w:szCs w:val="32"/>
        </w:rPr>
      </w:pPr>
    </w:p>
    <w:p>
      <w:pPr>
        <w:spacing w:line="560" w:lineRule="exact"/>
        <w:ind w:left="0"/>
        <w:jc w:val="left"/>
        <w:rPr>
          <w:rFonts w:hint="eastAsia" w:ascii="仿宋" w:hAnsi="仿宋" w:eastAsia="仿宋" w:cs="黑体"/>
          <w:sz w:val="32"/>
          <w:szCs w:val="32"/>
        </w:rPr>
      </w:pPr>
    </w:p>
    <w:p>
      <w:pPr>
        <w:spacing w:line="560" w:lineRule="exact"/>
        <w:ind w:left="0"/>
        <w:jc w:val="left"/>
        <w:rPr>
          <w:rFonts w:hint="eastAsia" w:ascii="仿宋" w:hAnsi="仿宋" w:eastAsia="仿宋" w:cs="黑体"/>
          <w:sz w:val="32"/>
          <w:szCs w:val="32"/>
        </w:rPr>
      </w:pPr>
    </w:p>
    <w:p>
      <w:pPr>
        <w:spacing w:line="560" w:lineRule="exact"/>
        <w:ind w:left="0"/>
        <w:jc w:val="left"/>
        <w:rPr>
          <w:rFonts w:hint="eastAsia" w:ascii="仿宋" w:hAnsi="仿宋" w:eastAsia="仿宋" w:cs="黑体"/>
          <w:sz w:val="32"/>
          <w:szCs w:val="32"/>
        </w:rPr>
      </w:pPr>
    </w:p>
    <w:p>
      <w:pPr>
        <w:spacing w:line="560" w:lineRule="exact"/>
        <w:ind w:left="0"/>
        <w:jc w:val="left"/>
        <w:rPr>
          <w:rFonts w:hint="eastAsia" w:ascii="仿宋" w:hAnsi="仿宋" w:eastAsia="仿宋" w:cs="黑体"/>
          <w:sz w:val="32"/>
          <w:szCs w:val="32"/>
        </w:rPr>
      </w:pPr>
    </w:p>
    <w:p>
      <w:pPr>
        <w:spacing w:line="560" w:lineRule="exact"/>
        <w:ind w:left="0"/>
        <w:jc w:val="left"/>
        <w:rPr>
          <w:rFonts w:hint="eastAsia" w:ascii="仿宋" w:hAnsi="仿宋" w:eastAsia="仿宋" w:cs="黑体"/>
          <w:sz w:val="32"/>
          <w:szCs w:val="32"/>
        </w:rPr>
      </w:pPr>
    </w:p>
    <w:p>
      <w:pPr>
        <w:spacing w:line="560" w:lineRule="exact"/>
        <w:ind w:left="0"/>
        <w:jc w:val="left"/>
        <w:rPr>
          <w:rFonts w:hint="eastAsia" w:ascii="仿宋" w:hAnsi="仿宋" w:eastAsia="仿宋" w:cs="黑体"/>
          <w:sz w:val="32"/>
          <w:szCs w:val="32"/>
        </w:rPr>
      </w:pPr>
    </w:p>
    <w:p>
      <w:pPr>
        <w:spacing w:line="560" w:lineRule="exact"/>
        <w:ind w:left="0"/>
        <w:jc w:val="left"/>
        <w:rPr>
          <w:rFonts w:hint="eastAsia" w:ascii="仿宋" w:hAnsi="仿宋" w:eastAsia="仿宋" w:cs="黑体"/>
          <w:sz w:val="32"/>
          <w:szCs w:val="32"/>
        </w:rPr>
      </w:pPr>
    </w:p>
    <w:p>
      <w:pPr>
        <w:spacing w:line="560" w:lineRule="exact"/>
        <w:ind w:left="0"/>
        <w:jc w:val="left"/>
        <w:rPr>
          <w:rFonts w:hint="eastAsia" w:ascii="仿宋" w:hAnsi="仿宋" w:eastAsia="仿宋" w:cs="黑体"/>
          <w:sz w:val="32"/>
          <w:szCs w:val="32"/>
        </w:rPr>
      </w:pPr>
    </w:p>
    <w:p>
      <w:pPr>
        <w:spacing w:line="560" w:lineRule="exact"/>
        <w:ind w:left="0"/>
        <w:jc w:val="left"/>
        <w:rPr>
          <w:rFonts w:hint="eastAsia" w:ascii="仿宋" w:hAnsi="仿宋" w:eastAsia="仿宋" w:cs="黑体"/>
          <w:sz w:val="32"/>
          <w:szCs w:val="32"/>
        </w:rPr>
      </w:pPr>
    </w:p>
    <w:p>
      <w:pPr>
        <w:spacing w:line="560" w:lineRule="exact"/>
        <w:ind w:left="0"/>
        <w:jc w:val="left"/>
        <w:rPr>
          <w:rFonts w:hint="eastAsia" w:ascii="仿宋" w:hAnsi="仿宋" w:eastAsia="仿宋" w:cs="黑体"/>
          <w:sz w:val="32"/>
          <w:szCs w:val="32"/>
        </w:rPr>
      </w:pPr>
    </w:p>
    <w:p>
      <w:pPr>
        <w:spacing w:line="560" w:lineRule="exact"/>
        <w:ind w:left="0"/>
        <w:jc w:val="left"/>
        <w:rPr>
          <w:rFonts w:hint="eastAsia" w:ascii="仿宋" w:hAnsi="仿宋" w:eastAsia="仿宋" w:cs="黑体"/>
          <w:sz w:val="32"/>
          <w:szCs w:val="32"/>
        </w:rPr>
      </w:pPr>
    </w:p>
    <w:p>
      <w:pPr>
        <w:spacing w:line="560" w:lineRule="exact"/>
        <w:ind w:left="0"/>
        <w:jc w:val="left"/>
        <w:rPr>
          <w:rFonts w:hint="eastAsia" w:ascii="仿宋" w:hAnsi="仿宋" w:eastAsia="仿宋" w:cs="黑体"/>
          <w:sz w:val="32"/>
          <w:szCs w:val="32"/>
        </w:rPr>
      </w:pPr>
    </w:p>
    <w:p>
      <w:pPr>
        <w:ind w:left="0" w:leftChars="0" w:firstLine="0" w:firstLineChars="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Y1NmY0NGUzNzEwYzdhMTI1NWRjMDk5ZjhkNGQ3ZjUifQ=="/>
  </w:docVars>
  <w:rsids>
    <w:rsidRoot w:val="00105D9B"/>
    <w:rsid w:val="0003207B"/>
    <w:rsid w:val="00100F54"/>
    <w:rsid w:val="00105D9B"/>
    <w:rsid w:val="001406C2"/>
    <w:rsid w:val="001620E4"/>
    <w:rsid w:val="002875C5"/>
    <w:rsid w:val="003733A7"/>
    <w:rsid w:val="00601B70"/>
    <w:rsid w:val="00685704"/>
    <w:rsid w:val="006A0641"/>
    <w:rsid w:val="006D46B5"/>
    <w:rsid w:val="00B37FC3"/>
    <w:rsid w:val="00C32EDD"/>
    <w:rsid w:val="00D60B20"/>
    <w:rsid w:val="00D91A53"/>
    <w:rsid w:val="00EA14A4"/>
    <w:rsid w:val="00EB1559"/>
    <w:rsid w:val="00F8354B"/>
    <w:rsid w:val="03392C33"/>
    <w:rsid w:val="05BF1B76"/>
    <w:rsid w:val="06DB386E"/>
    <w:rsid w:val="08314CB4"/>
    <w:rsid w:val="127E021B"/>
    <w:rsid w:val="15AC123C"/>
    <w:rsid w:val="17134C6A"/>
    <w:rsid w:val="1BC23FE8"/>
    <w:rsid w:val="200E111C"/>
    <w:rsid w:val="27DD66F0"/>
    <w:rsid w:val="39865885"/>
    <w:rsid w:val="3BE74636"/>
    <w:rsid w:val="5DAF78B3"/>
    <w:rsid w:val="639F381F"/>
    <w:rsid w:val="69DE67C7"/>
    <w:rsid w:val="7F9E2A1F"/>
    <w:rsid w:val="FB7EE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unhideWhenUsed/>
    <w:qFormat/>
    <w:uiPriority w:val="99"/>
    <w:rPr>
      <w:color w:val="800080"/>
      <w:u w:val="none"/>
    </w:rPr>
  </w:style>
  <w:style w:type="character" w:styleId="11">
    <w:name w:val="Hyperlink"/>
    <w:basedOn w:val="9"/>
    <w:unhideWhenUsed/>
    <w:qFormat/>
    <w:uiPriority w:val="99"/>
    <w:rPr>
      <w:color w:val="0000FF"/>
      <w:u w:val="none"/>
    </w:rPr>
  </w:style>
  <w:style w:type="character" w:customStyle="1" w:styleId="12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info-label"/>
    <w:basedOn w:val="9"/>
    <w:qFormat/>
    <w:uiPriority w:val="0"/>
    <w:rPr>
      <w:b/>
      <w:bCs/>
    </w:rPr>
  </w:style>
  <w:style w:type="character" w:customStyle="1" w:styleId="15">
    <w:name w:val="info-content"/>
    <w:basedOn w:val="9"/>
    <w:qFormat/>
    <w:uiPriority w:val="0"/>
    <w:rPr>
      <w:color w:val="808080"/>
    </w:rPr>
  </w:style>
  <w:style w:type="character" w:customStyle="1" w:styleId="16">
    <w:name w:val="current"/>
    <w:basedOn w:val="9"/>
    <w:qFormat/>
    <w:uiPriority w:val="0"/>
    <w:rPr>
      <w:color w:val="00C1DE"/>
    </w:rPr>
  </w:style>
  <w:style w:type="character" w:customStyle="1" w:styleId="17">
    <w:name w:val="current1"/>
    <w:basedOn w:val="9"/>
    <w:qFormat/>
    <w:uiPriority w:val="0"/>
    <w:rPr>
      <w:color w:val="00C1DE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ind w:left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8905</Words>
  <Characters>9347</Characters>
  <Lines>44</Lines>
  <Paragraphs>12</Paragraphs>
  <TotalTime>6</TotalTime>
  <ScaleCrop>false</ScaleCrop>
  <LinksUpToDate>false</LinksUpToDate>
  <CharactersWithSpaces>9507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2021-11-18T17:46:00Z</dcterms:created>
  <dc:creator>cindyliu</dc:creator>
  <cp:lastModifiedBy>梁</cp:lastModifiedBy>
  <dcterms:modified xsi:type="dcterms:W3CDTF">2022-06-10T01:03:09Z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85CC6F2E61FB46989872EE293FD8CEEF</vt:lpwstr>
  </property>
</Properties>
</file>